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rFonts w:ascii="Times New Roman" w:hAnsi="Times New Roman"/>
        </w:rPr>
      </w:pPr>
      <w:r>
        <w:rPr>
          <w:rFonts w:ascii="Times New Roman" w:hAnsi="Times New Roman"/>
        </w:rPr>
      </w:r>
    </w:p>
    <w:p>
      <w:pPr>
        <w:pStyle w:val="Tretekstu"/>
        <w:jc w:val="right"/>
        <w:rPr>
          <w:rFonts w:ascii="Times New Roman" w:hAnsi="Times New Roman"/>
        </w:rPr>
      </w:pPr>
      <w:r>
        <w:rPr>
          <w:rFonts w:ascii="Times New Roman" w:hAnsi="Times New Roman"/>
        </w:rPr>
        <w:t xml:space="preserve">PPHU </w:t>
      </w:r>
      <w:r>
        <w:rPr>
          <w:rFonts w:ascii="Times New Roman" w:hAnsi="Times New Roman"/>
        </w:rPr>
        <w:t xml:space="preserve">„Akwa” Józef Biskup, Stefan Owczarek </w:t>
      </w:r>
      <w:r>
        <w:rPr>
          <w:rFonts w:ascii="Times New Roman" w:hAnsi="Times New Roman"/>
        </w:rPr>
        <w:t>Sp.J.</w:t>
      </w:r>
      <w:r>
        <w:rPr>
          <w:rFonts w:ascii="Times New Roman" w:hAnsi="Times New Roman"/>
        </w:rPr>
        <w:t xml:space="preserve"> </w:t>
      </w:r>
    </w:p>
    <w:p>
      <w:pPr>
        <w:pStyle w:val="Tretekstu"/>
        <w:jc w:val="right"/>
        <w:rPr>
          <w:rFonts w:ascii="Times New Roman" w:hAnsi="Times New Roman"/>
        </w:rPr>
      </w:pPr>
      <w:r>
        <w:rPr>
          <w:rFonts w:ascii="Times New Roman" w:hAnsi="Times New Roman"/>
        </w:rPr>
        <w:t>Ul. Ignacego Paderewskiego 21</w:t>
      </w:r>
    </w:p>
    <w:p>
      <w:pPr>
        <w:pStyle w:val="Tretekstu"/>
        <w:jc w:val="right"/>
        <w:rPr>
          <w:rFonts w:ascii="Times New Roman" w:hAnsi="Times New Roman"/>
        </w:rPr>
      </w:pPr>
      <w:r>
        <w:rPr>
          <w:rFonts w:ascii="Times New Roman" w:hAnsi="Times New Roman"/>
        </w:rPr>
        <w:t>41-810 Zabrze</w:t>
      </w:r>
    </w:p>
    <w:p>
      <w:pPr>
        <w:pStyle w:val="Tretekstu"/>
        <w:rPr>
          <w:rFonts w:ascii="Times New Roman" w:hAnsi="Times New Roman"/>
        </w:rPr>
      </w:pPr>
      <w:r>
        <w:rPr>
          <w:rFonts w:ascii="Times New Roman" w:hAnsi="Times New Roman"/>
        </w:rPr>
      </w:r>
    </w:p>
    <w:p>
      <w:pPr>
        <w:pStyle w:val="Tretekstu"/>
        <w:rPr>
          <w:rFonts w:ascii="Times New Roman" w:hAnsi="Times New Roman"/>
          <w:b/>
          <w:b/>
          <w:bCs/>
          <w:sz w:val="32"/>
          <w:szCs w:val="32"/>
        </w:rPr>
      </w:pPr>
      <w:r>
        <w:rPr>
          <w:rFonts w:ascii="Times New Roman" w:hAnsi="Times New Roman"/>
          <w:b/>
          <w:bCs/>
          <w:sz w:val="32"/>
          <w:szCs w:val="32"/>
        </w:rPr>
        <w:t xml:space="preserve">Zapytanie Ofertowe – specjalistyczny elektryczny robot montażowy wraz z niezbędnym oprzyrządowaniem. </w:t>
      </w:r>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t>W związku z realizacją projektu w Ramach Regionalnego Programu Operacyjnego Województwa Śląskiego na lata 2014-2020 dla osi Priorytetowej III Konkurencyjność MŚP dl działania 3.2 Innowacje w MŚP, firma Akwa PPHU z siedzibą w Zabrzu (41-810), ul. Ignacego Paderewskiego , NIP 6480003733 zaprasza do składania ofert na dostawę specjalistycznego robota elektrycznego wraz z niezbędnym oprzyrządowaniem.</w:t>
      </w:r>
    </w:p>
    <w:p>
      <w:pPr>
        <w:pStyle w:val="Tretekstu"/>
        <w:rPr>
          <w:rFonts w:ascii="Times New Roman" w:hAnsi="Times New Roman"/>
        </w:rPr>
      </w:pPr>
      <w:r>
        <w:rPr>
          <w:rFonts w:ascii="Times New Roman" w:hAnsi="Times New Roman"/>
        </w:rPr>
        <w:t>1.OPIS PRZEDMIOTU ZAMÓWIENIA:</w:t>
      </w:r>
    </w:p>
    <w:p>
      <w:pPr>
        <w:pStyle w:val="Tretekstu"/>
        <w:rPr>
          <w:rFonts w:ascii="Times New Roman" w:hAnsi="Times New Roman"/>
        </w:rPr>
      </w:pPr>
      <w:r>
        <w:rPr>
          <w:rFonts w:ascii="Times New Roman" w:hAnsi="Times New Roman"/>
        </w:rPr>
        <w:t xml:space="preserve">NAZWA i KOD CPV : 42990000-2 – różne maszyny specjalistycznego zastosowania </w:t>
      </w:r>
    </w:p>
    <w:p>
      <w:pPr>
        <w:pStyle w:val="Tretekstu"/>
        <w:rPr>
          <w:rFonts w:ascii="Times New Roman" w:hAnsi="Times New Roman"/>
        </w:rPr>
      </w:pPr>
      <w:r>
        <w:rPr>
          <w:rFonts w:ascii="Times New Roman" w:hAnsi="Times New Roman"/>
        </w:rPr>
        <w:t xml:space="preserve">Przedmiotem zamówienia jest zakup specjalistycznego samojezdnego robota elektrycznego do montażu kształtki kapeluszowej utwardzanej światłem UV, który ma służyć wprowadzeniu w firmie nowych innowacyjnych rozwiązań i poprawić jakość wykonywanych dotychczas usług. </w:t>
      </w:r>
    </w:p>
    <w:p>
      <w:pPr>
        <w:pStyle w:val="Tretekstu"/>
        <w:rPr>
          <w:rFonts w:ascii="Times New Roman" w:hAnsi="Times New Roman"/>
        </w:rPr>
      </w:pPr>
      <w:r>
        <w:rPr>
          <w:rFonts w:ascii="Times New Roman" w:hAnsi="Times New Roman"/>
        </w:rPr>
        <w:t>Miejsce dostawy – siedziba Zamawiającego.</w:t>
      </w:r>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t>2. OSWIADCZENIE O BRAKU KONFLIKTU INTERESÓW</w:t>
      </w:r>
    </w:p>
    <w:p>
      <w:pPr>
        <w:pStyle w:val="Tretekstu"/>
        <w:rPr>
          <w:rFonts w:ascii="Times New Roman" w:hAnsi="Times New Roman"/>
        </w:rPr>
      </w:pPr>
      <w:r>
        <w:rPr>
          <w:rFonts w:ascii="Times New Roman" w:hAnsi="Times New Roman"/>
        </w:rPr>
        <w:t>Zamawiający informuje również, iż w celu uniknięcia konfliktu interesów zamówienie nie może być udzielone podmiotom powiązanym z nim osobowo lub kapitałowo. Poprzez powiązanie kapitałowe lub osobowe rozumie się wzajemne powiązania między Zamawiającym lub osobami upoważnionymi do zaciągnięcia zobowiązań w imieniu Zamawiającego lub osobami wykonującymi w imieniu Zamawiającego czynności związane z przygotowaniem i przeprowadzeniem procedury wyboru dostawy a dostawcą, polegające w szczególności na:</w:t>
      </w:r>
    </w:p>
    <w:p>
      <w:pPr>
        <w:pStyle w:val="Tretekstu"/>
        <w:rPr>
          <w:rFonts w:ascii="Times New Roman" w:hAnsi="Times New Roman"/>
        </w:rPr>
      </w:pPr>
      <w:r>
        <w:rPr>
          <w:rFonts w:ascii="Times New Roman" w:hAnsi="Times New Roman"/>
        </w:rPr>
        <w:t xml:space="preserve">- uczestniczeniu w spółce jako wspólnik spółki cywilnej lub spółki osobowej </w:t>
      </w:r>
    </w:p>
    <w:p>
      <w:pPr>
        <w:pStyle w:val="Tretekstu"/>
        <w:rPr>
          <w:rFonts w:ascii="Times New Roman" w:hAnsi="Times New Roman"/>
        </w:rPr>
      </w:pPr>
      <w:r>
        <w:rPr>
          <w:rFonts w:ascii="Times New Roman" w:hAnsi="Times New Roman"/>
        </w:rPr>
        <w:t xml:space="preserve">- posiadaniu co najmniej 10% udziałów lub akcji </w:t>
      </w:r>
    </w:p>
    <w:p>
      <w:pPr>
        <w:pStyle w:val="Tretekstu"/>
        <w:rPr>
          <w:rFonts w:ascii="Times New Roman" w:hAnsi="Times New Roman"/>
        </w:rPr>
      </w:pPr>
      <w:r>
        <w:rPr>
          <w:rFonts w:ascii="Times New Roman" w:hAnsi="Times New Roman"/>
        </w:rPr>
        <w:t>-pełnieniu funkcji członka organu nadzorczego lub zarządzającego, prokurenta, pełnomocnika</w:t>
      </w:r>
    </w:p>
    <w:p>
      <w:pPr>
        <w:pStyle w:val="Tretekstu"/>
        <w:rPr>
          <w:rFonts w:ascii="Times New Roman" w:hAnsi="Times New Roman"/>
        </w:rPr>
      </w:pPr>
      <w:r>
        <w:rPr>
          <w:rFonts w:ascii="Times New Roman" w:hAnsi="Times New Roman"/>
        </w:rPr>
        <w:t xml:space="preserve">-pozostawanie w związku małżeńskim, w stosunku pokrewieństwa lub powinowactwa w linii prostej, pokrewieństwa drugiego stopnia lub powinowactwa drugiego stopnia w linii bocznej lub w stosunku przysposobienia, opieki lub kurateli. </w:t>
      </w:r>
    </w:p>
    <w:p>
      <w:pPr>
        <w:pStyle w:val="Tretekstu"/>
        <w:rPr>
          <w:rFonts w:ascii="Times New Roman" w:hAnsi="Times New Roman"/>
        </w:rPr>
      </w:pPr>
      <w:r>
        <w:rPr>
          <w:rFonts w:ascii="Times New Roman" w:hAnsi="Times New Roman"/>
        </w:rPr>
        <w:t>Oświadczenie o braku konfliktu interesów musi zostać dostarczone razem z ofertą.</w:t>
      </w:r>
    </w:p>
    <w:p>
      <w:pPr>
        <w:pStyle w:val="Tretekstu"/>
        <w:rPr>
          <w:rFonts w:ascii="Times New Roman" w:hAnsi="Times New Roman"/>
        </w:rPr>
      </w:pPr>
      <w:r>
        <w:rPr>
          <w:rFonts w:ascii="Times New Roman" w:hAnsi="Times New Roman"/>
        </w:rPr>
        <w:t>3. WARUNKI UDZIAŁU W POSTĘPOWIANIU ORAZ SPOSÓB DOKONYWANIA OCENY :</w:t>
      </w:r>
    </w:p>
    <w:p>
      <w:pPr>
        <w:pStyle w:val="Tretekstu"/>
        <w:rPr>
          <w:rFonts w:ascii="Times New Roman" w:hAnsi="Times New Roman"/>
        </w:rPr>
      </w:pPr>
      <w:r>
        <w:rPr>
          <w:rFonts w:ascii="Times New Roman" w:hAnsi="Times New Roman"/>
        </w:rPr>
        <w:t xml:space="preserve">Wybór dostawcy zostanie rozstrzygnięty na podstawie oceny specjalnie powołanej Komisji Oceniającej, która sporządzi protokół wyboru. Ocena będzie miała charakter dwuetapowy tj. ocena formalna pod względem spełnienia wymogów formalnych oraz merytoryczna podlegająca na przyznaniu określonej ilości punktów. Brak spełnienia wymogów formalnych spowoduje odrzucenie oferty. Ocenie merytorycznej podlegać będą jedynie oferty kompletne, pozytywnie ocenione pod względem formalnym. </w:t>
      </w:r>
    </w:p>
    <w:p>
      <w:pPr>
        <w:pStyle w:val="Tretekstu"/>
        <w:rPr>
          <w:rFonts w:ascii="Times New Roman" w:hAnsi="Times New Roman"/>
        </w:rPr>
      </w:pPr>
      <w:r>
        <w:rPr>
          <w:rFonts w:ascii="Times New Roman" w:hAnsi="Times New Roman"/>
        </w:rPr>
        <w:t>Ocenie będą podlegały jedynie kompletne oferty zawierające minimum :</w:t>
      </w:r>
    </w:p>
    <w:p>
      <w:pPr>
        <w:pStyle w:val="Tretekstu"/>
        <w:rPr>
          <w:rFonts w:ascii="Times New Roman" w:hAnsi="Times New Roman"/>
        </w:rPr>
      </w:pPr>
      <w:r>
        <w:rPr>
          <w:rFonts w:ascii="Times New Roman" w:hAnsi="Times New Roman"/>
        </w:rPr>
        <w:t>- dane oferenta,</w:t>
      </w:r>
    </w:p>
    <w:p>
      <w:pPr>
        <w:pStyle w:val="Tretekstu"/>
        <w:rPr>
          <w:rFonts w:ascii="Times New Roman" w:hAnsi="Times New Roman"/>
        </w:rPr>
      </w:pPr>
      <w:r>
        <w:rPr>
          <w:rFonts w:ascii="Times New Roman" w:hAnsi="Times New Roman"/>
        </w:rPr>
        <w:t>- opis urządzenia zawierający specyfikację techniczną, która zawiera minimalne parametry techniczne określone w załączniku 1 do zapytania,</w:t>
      </w:r>
    </w:p>
    <w:p>
      <w:pPr>
        <w:pStyle w:val="Tretekstu"/>
        <w:rPr>
          <w:rFonts w:ascii="Times New Roman" w:hAnsi="Times New Roman"/>
        </w:rPr>
      </w:pPr>
      <w:r>
        <w:rPr>
          <w:rFonts w:ascii="Times New Roman" w:hAnsi="Times New Roman"/>
        </w:rPr>
        <w:t>- cenę urządzenia,</w:t>
      </w:r>
    </w:p>
    <w:p>
      <w:pPr>
        <w:pStyle w:val="Tretekstu"/>
        <w:rPr>
          <w:rFonts w:ascii="Times New Roman" w:hAnsi="Times New Roman"/>
        </w:rPr>
      </w:pPr>
      <w:r>
        <w:rPr>
          <w:rFonts w:ascii="Times New Roman" w:hAnsi="Times New Roman"/>
        </w:rPr>
        <w:t>- długość gwarancji,</w:t>
      </w:r>
    </w:p>
    <w:p>
      <w:pPr>
        <w:pStyle w:val="Tretekstu"/>
        <w:rPr>
          <w:rFonts w:ascii="Times New Roman" w:hAnsi="Times New Roman"/>
        </w:rPr>
      </w:pPr>
      <w:r>
        <w:rPr>
          <w:rFonts w:ascii="Times New Roman" w:hAnsi="Times New Roman"/>
        </w:rPr>
        <w:t>- oświadczenie o braku konfliktu interesów</w:t>
      </w:r>
    </w:p>
    <w:p>
      <w:pPr>
        <w:pStyle w:val="Tretekstu"/>
        <w:rPr>
          <w:rFonts w:ascii="Times New Roman" w:hAnsi="Times New Roman"/>
        </w:rPr>
      </w:pPr>
      <w:r>
        <w:rPr>
          <w:rFonts w:ascii="Times New Roman" w:hAnsi="Times New Roman"/>
        </w:rPr>
        <w:t>Oferty mogą być przekazane w formie elektronicznej, faxem jak i również w formie pisemnej do siedziby zamawiającego.</w:t>
      </w:r>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t>4. KRYTERIA OCENY OFERTY:</w:t>
      </w:r>
    </w:p>
    <w:p>
      <w:pPr>
        <w:pStyle w:val="Tretekstu"/>
        <w:rPr>
          <w:rFonts w:ascii="Times New Roman" w:hAnsi="Times New Roman"/>
        </w:rPr>
      </w:pPr>
      <w:r>
        <w:rPr>
          <w:rFonts w:ascii="Times New Roman" w:hAnsi="Times New Roman"/>
        </w:rPr>
        <w:t>Kryterium 1: cena netto - WAGA: 90%</w:t>
      </w:r>
    </w:p>
    <w:p>
      <w:pPr>
        <w:pStyle w:val="Tretekstu"/>
        <w:rPr>
          <w:rFonts w:ascii="Times New Roman" w:hAnsi="Times New Roman"/>
        </w:rPr>
      </w:pPr>
      <w:r>
        <w:rPr>
          <w:rFonts w:ascii="Times New Roman" w:hAnsi="Times New Roman"/>
        </w:rPr>
        <w:t>Kryterium 2: długość gwarancji - WAGA: 10%</w:t>
      </w:r>
    </w:p>
    <w:p>
      <w:pPr>
        <w:pStyle w:val="Tretekstu"/>
        <w:rPr>
          <w:rFonts w:ascii="Times New Roman" w:hAnsi="Times New Roman"/>
        </w:rPr>
      </w:pPr>
      <w:r>
        <w:rPr>
          <w:rFonts w:ascii="Times New Roman" w:hAnsi="Times New Roman"/>
        </w:rPr>
        <w:t xml:space="preserve">KRYTERIUM 1 : </w:t>
      </w:r>
    </w:p>
    <w:p>
      <w:pPr>
        <w:pStyle w:val="Tretekstu"/>
        <w:rPr>
          <w:rFonts w:ascii="Times New Roman" w:hAnsi="Times New Roman"/>
        </w:rPr>
      </w:pPr>
      <w:r>
        <w:rPr>
          <w:rFonts w:ascii="Times New Roman" w:hAnsi="Times New Roman"/>
        </w:rPr>
        <w:t xml:space="preserve">Najniższa cena uzyskuje 100 punktów. Kolejne punkty obliczę będą w następujący sposób: </w:t>
      </w:r>
    </w:p>
    <w:p>
      <w:pPr>
        <w:pStyle w:val="Tretekstu"/>
        <w:rPr>
          <w:b/>
          <w:b/>
          <w:bCs/>
        </w:rPr>
      </w:pPr>
      <w:r>
        <w:rPr>
          <w:rFonts w:ascii="Times New Roman" w:hAnsi="Times New Roman"/>
          <w:b/>
          <w:bCs/>
        </w:rPr>
        <w:t>C</w:t>
      </w:r>
      <w:r>
        <w:rPr>
          <w:rFonts w:ascii="Times New Roman" w:hAnsi="Times New Roman"/>
          <w:b/>
          <w:bCs/>
        </w:rPr>
        <w:t>ena najniższa / cena z kolejnej oferty x 100</w:t>
      </w:r>
    </w:p>
    <w:p>
      <w:pPr>
        <w:pStyle w:val="Tretekstu"/>
        <w:rPr>
          <w:rFonts w:ascii="Times New Roman" w:hAnsi="Times New Roman"/>
        </w:rPr>
      </w:pPr>
      <w:r>
        <w:rPr>
          <w:rFonts w:ascii="Times New Roman" w:hAnsi="Times New Roman"/>
        </w:rPr>
        <w:t xml:space="preserve">Wynik określa ilość punktów kolejnej oferty pod względem ceny. </w:t>
      </w:r>
    </w:p>
    <w:p>
      <w:pPr>
        <w:pStyle w:val="Tretekstu"/>
        <w:rPr>
          <w:rFonts w:ascii="Times New Roman" w:hAnsi="Times New Roman"/>
        </w:rPr>
      </w:pPr>
      <w:r>
        <w:rPr>
          <w:rFonts w:ascii="Times New Roman" w:hAnsi="Times New Roman"/>
        </w:rPr>
        <w:t>Ilość punktów uzyskana w tej kategorii pomnożona zostanie przez wagę czyli 90%.</w:t>
      </w:r>
    </w:p>
    <w:p>
      <w:pPr>
        <w:pStyle w:val="Tretekstu"/>
        <w:rPr>
          <w:rFonts w:ascii="Times New Roman" w:hAnsi="Times New Roman"/>
        </w:rPr>
      </w:pPr>
      <w:r>
        <w:rPr>
          <w:rFonts w:ascii="Times New Roman" w:hAnsi="Times New Roman"/>
        </w:rPr>
        <w:t>KRYTERIUM NR 2:</w:t>
      </w:r>
    </w:p>
    <w:p>
      <w:pPr>
        <w:pStyle w:val="Tretekstu"/>
        <w:rPr>
          <w:rFonts w:ascii="Times New Roman" w:hAnsi="Times New Roman"/>
        </w:rPr>
      </w:pPr>
      <w:r>
        <w:rPr>
          <w:rFonts w:ascii="Times New Roman" w:hAnsi="Times New Roman"/>
        </w:rPr>
        <w:t xml:space="preserve">Punkty za gwarancję </w:t>
      </w:r>
      <w:r>
        <w:rPr>
          <w:rFonts w:ascii="Times New Roman" w:hAnsi="Times New Roman"/>
        </w:rPr>
        <w:t>będą wyliczane w następujący sposób:</w:t>
      </w:r>
    </w:p>
    <w:p>
      <w:pPr>
        <w:pStyle w:val="Tretekstu"/>
        <w:rPr>
          <w:rFonts w:ascii="Times New Roman" w:hAnsi="Times New Roman"/>
        </w:rPr>
      </w:pPr>
      <w:r>
        <w:rPr>
          <w:rFonts w:ascii="Times New Roman" w:hAnsi="Times New Roman"/>
        </w:rPr>
        <w:t xml:space="preserve">Gwarancja długości powyżej 2 lat otrzymuje 15 pkt </w:t>
      </w:r>
    </w:p>
    <w:p>
      <w:pPr>
        <w:pStyle w:val="Tretekstu"/>
        <w:rPr>
          <w:rFonts w:ascii="Times New Roman" w:hAnsi="Times New Roman"/>
        </w:rPr>
      </w:pPr>
      <w:r>
        <w:rPr>
          <w:rFonts w:ascii="Times New Roman" w:hAnsi="Times New Roman"/>
        </w:rPr>
        <w:t>Gwarancja długości 1-2 (łącznie) lat otrzymuje 10pkt</w:t>
      </w:r>
    </w:p>
    <w:p>
      <w:pPr>
        <w:pStyle w:val="Tretekstu"/>
        <w:rPr>
          <w:rFonts w:ascii="Times New Roman" w:hAnsi="Times New Roman"/>
        </w:rPr>
      </w:pPr>
      <w:r>
        <w:rPr>
          <w:rFonts w:ascii="Times New Roman" w:hAnsi="Times New Roman"/>
        </w:rPr>
        <w:t>Gwarancja długości 1 rok otrzymuje 5 pkt</w:t>
      </w:r>
    </w:p>
    <w:p>
      <w:pPr>
        <w:pStyle w:val="Tretekstu"/>
        <w:rPr>
          <w:rFonts w:ascii="Times New Roman" w:hAnsi="Times New Roman"/>
        </w:rPr>
      </w:pPr>
      <w:r>
        <w:rPr>
          <w:rFonts w:ascii="Times New Roman" w:hAnsi="Times New Roman"/>
        </w:rPr>
        <w:t>Ilość punktów uzyskana w tej kategorii pomnożona zostanie przez wagę czyli 10 %</w:t>
      </w:r>
    </w:p>
    <w:p>
      <w:pPr>
        <w:pStyle w:val="Tretekstu"/>
        <w:rPr>
          <w:rFonts w:ascii="Times New Roman" w:hAnsi="Times New Roman"/>
        </w:rPr>
      </w:pPr>
      <w:r>
        <w:rPr>
          <w:rFonts w:ascii="Times New Roman" w:hAnsi="Times New Roman"/>
        </w:rPr>
        <w:t xml:space="preserve">Przy wszystkich obliczeniach zastosowane będą zaokrąglenia do drugiego miejsca po przecinku. </w:t>
      </w:r>
    </w:p>
    <w:p>
      <w:pPr>
        <w:pStyle w:val="Tretekstu"/>
        <w:rPr>
          <w:rFonts w:ascii="Times New Roman" w:hAnsi="Times New Roman"/>
        </w:rPr>
      </w:pPr>
      <w:r>
        <w:rPr>
          <w:rFonts w:ascii="Times New Roman" w:hAnsi="Times New Roman"/>
        </w:rPr>
        <w:t>4. TERMIN SKŁADANIA OFERT:</w:t>
      </w:r>
    </w:p>
    <w:p>
      <w:pPr>
        <w:pStyle w:val="Tretekstu"/>
        <w:rPr>
          <w:rFonts w:ascii="Times New Roman" w:hAnsi="Times New Roman"/>
        </w:rPr>
      </w:pPr>
      <w:r>
        <w:rPr>
          <w:rFonts w:ascii="Times New Roman" w:hAnsi="Times New Roman"/>
        </w:rPr>
        <w:t xml:space="preserve">Oferty należy składać do </w:t>
      </w:r>
      <w:r>
        <w:rPr>
          <w:rFonts w:ascii="Times New Roman" w:hAnsi="Times New Roman"/>
        </w:rPr>
        <w:t>dnia 23.03.2018r</w:t>
      </w:r>
    </w:p>
    <w:p>
      <w:pPr>
        <w:pStyle w:val="Tretekstu"/>
        <w:rPr>
          <w:rFonts w:ascii="Times New Roman" w:hAnsi="Times New Roman"/>
        </w:rPr>
      </w:pPr>
      <w:r>
        <w:rPr>
          <w:rFonts w:ascii="Times New Roman" w:hAnsi="Times New Roman"/>
        </w:rPr>
        <w:t>Przewidywany termin rozstrzygnięcia postępowania : do 7 dni od daty zamykającej złożenie ofert</w:t>
      </w:r>
    </w:p>
    <w:p>
      <w:pPr>
        <w:pStyle w:val="Tretekstu"/>
        <w:rPr>
          <w:rFonts w:ascii="Times New Roman" w:hAnsi="Times New Roman"/>
        </w:rPr>
      </w:pPr>
      <w:r>
        <w:rPr>
          <w:rFonts w:ascii="Times New Roman" w:hAnsi="Times New Roman"/>
        </w:rPr>
        <w:t>Przewidywany termin złożenia zamówienia : do 14 dni od rozstrzygnięcia postępowania</w:t>
      </w:r>
    </w:p>
    <w:p>
      <w:pPr>
        <w:pStyle w:val="Tretekstu"/>
        <w:rPr>
          <w:rFonts w:ascii="Times New Roman" w:hAnsi="Times New Roman"/>
        </w:rPr>
      </w:pPr>
      <w:r>
        <w:rPr>
          <w:rFonts w:ascii="Times New Roman" w:hAnsi="Times New Roman"/>
        </w:rPr>
        <w:t>Oferta może być dostarczona w formie pisemnej:</w:t>
      </w:r>
    </w:p>
    <w:p>
      <w:pPr>
        <w:pStyle w:val="Tretekstu"/>
        <w:rPr>
          <w:rFonts w:ascii="Times New Roman" w:hAnsi="Times New Roman"/>
        </w:rPr>
      </w:pPr>
      <w:r>
        <w:rPr>
          <w:rFonts w:ascii="Times New Roman" w:hAnsi="Times New Roman"/>
        </w:rPr>
        <w:t xml:space="preserve">· elektronicznej na adres </w:t>
      </w:r>
      <w:r>
        <w:rPr>
          <w:rFonts w:ascii="Times New Roman" w:hAnsi="Times New Roman"/>
        </w:rPr>
        <w:t>biuro@akwa.eu</w:t>
      </w:r>
    </w:p>
    <w:p>
      <w:pPr>
        <w:pStyle w:val="Tretekstu"/>
        <w:rPr>
          <w:rFonts w:ascii="Times New Roman" w:hAnsi="Times New Roman"/>
        </w:rPr>
      </w:pPr>
      <w:r>
        <w:rPr>
          <w:rFonts w:ascii="Times New Roman" w:hAnsi="Times New Roman"/>
        </w:rPr>
        <w:t>· Faxem: 32 739 03 60</w:t>
      </w:r>
    </w:p>
    <w:p>
      <w:pPr>
        <w:pStyle w:val="Tretekstu"/>
        <w:rPr>
          <w:rFonts w:ascii="Times New Roman" w:hAnsi="Times New Roman"/>
        </w:rPr>
      </w:pPr>
      <w:r>
        <w:rPr>
          <w:rFonts w:ascii="Times New Roman" w:hAnsi="Times New Roman"/>
        </w:rPr>
        <w:t xml:space="preserve">· Osobiście lub listownie na adres PPHU Akwa </w:t>
      </w:r>
      <w:r>
        <w:rPr>
          <w:rFonts w:ascii="Times New Roman" w:hAnsi="Times New Roman"/>
        </w:rPr>
        <w:t>Sp.J.</w:t>
      </w:r>
      <w:r>
        <w:rPr>
          <w:rFonts w:ascii="Times New Roman" w:hAnsi="Times New Roman"/>
        </w:rPr>
        <w:t xml:space="preserve"> ul. Ignacego Paderewskiego 21, 41-810 Zabrze </w:t>
      </w:r>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t xml:space="preserve">Zamawiający nie przewiduje składania ofert wariantowych oraz częściowych. Zainteresowane podmioty mogą uzyskać wszelkie niezbędne informacje na temat procedury wyboru oraz wymagań technicznych pod numerem </w:t>
      </w:r>
      <w:r>
        <w:rPr>
          <w:rFonts w:ascii="Times New Roman" w:hAnsi="Times New Roman"/>
        </w:rPr>
        <w:t>0048 502300519</w:t>
      </w:r>
      <w:r>
        <w:rPr>
          <w:rFonts w:ascii="Times New Roman" w:hAnsi="Times New Roman"/>
        </w:rPr>
        <w:t xml:space="preserve"> lub w siedzibie Zamawiającego od poniedziałku do piątku w godzinach od 8:00 do 14:00. </w:t>
      </w:r>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t>5. INFORMACJE DODATKOWE :</w:t>
      </w:r>
    </w:p>
    <w:p>
      <w:pPr>
        <w:pStyle w:val="Tretekstu"/>
        <w:rPr>
          <w:rFonts w:ascii="Times New Roman" w:hAnsi="Times New Roman"/>
        </w:rPr>
      </w:pPr>
      <w:r>
        <w:rPr>
          <w:rFonts w:ascii="Times New Roman" w:hAnsi="Times New Roman"/>
        </w:rPr>
        <w:t xml:space="preserve">A) Oferty wystawione w walutach obcych zostaną przeliczone według kursu NBP sprzedaży danej waluty z dnia sporządzenia protokołu wyboru. </w:t>
      </w:r>
    </w:p>
    <w:p>
      <w:pPr>
        <w:pStyle w:val="Tretekstu"/>
        <w:rPr/>
      </w:pPr>
      <w:r>
        <w:rPr>
          <w:rFonts w:ascii="Times New Roman" w:hAnsi="Times New Roman"/>
        </w:rPr>
        <w:t xml:space="preserve">B) Ogłoszenie wyników nastąpi po sporządzeniu protokołu wyboru, a informacja zostanie umieszczona na stronie internetowej </w:t>
      </w:r>
      <w:hyperlink r:id="rId2">
        <w:r>
          <w:rPr>
            <w:rStyle w:val="Czeinternetowe"/>
            <w:rFonts w:ascii="Times New Roman" w:hAnsi="Times New Roman"/>
          </w:rPr>
          <w:t>www.akwa.eu</w:t>
        </w:r>
      </w:hyperlink>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t>6. POSTANOWIENIA KOŃCOWE:</w:t>
      </w:r>
    </w:p>
    <w:p>
      <w:pPr>
        <w:pStyle w:val="Tretekstu"/>
        <w:rPr>
          <w:rFonts w:ascii="Times New Roman" w:hAnsi="Times New Roman"/>
        </w:rPr>
      </w:pPr>
      <w:r>
        <w:rPr>
          <w:rFonts w:ascii="Times New Roman" w:hAnsi="Times New Roman"/>
        </w:rPr>
        <w:t>- Udział podwykonawców w realizacji zamówienia wymaga zgody Zamawiającego.</w:t>
      </w:r>
    </w:p>
    <w:p>
      <w:pPr>
        <w:pStyle w:val="Tretekstu"/>
        <w:rPr>
          <w:rFonts w:ascii="Times New Roman" w:hAnsi="Times New Roman"/>
        </w:rPr>
      </w:pPr>
      <w:r>
        <w:rPr>
          <w:rFonts w:ascii="Times New Roman" w:hAnsi="Times New Roman"/>
        </w:rPr>
        <w:t>-Zamawiający zastrzega sobie prawo do żądania dokumentów potwierdzających informację zawarte w ofercie oraz odrzucenia oferty, w przypadku nieotrzymania jej w terminie.</w:t>
      </w:r>
    </w:p>
    <w:p>
      <w:pPr>
        <w:pStyle w:val="Tretekstu"/>
        <w:rPr>
          <w:rFonts w:ascii="Times New Roman" w:hAnsi="Times New Roman"/>
        </w:rPr>
      </w:pPr>
      <w:r>
        <w:rPr>
          <w:rFonts w:ascii="Times New Roman" w:hAnsi="Times New Roman"/>
        </w:rPr>
        <w:t xml:space="preserve">-Zamawiający zastrzega sobie uprawnienia do wydłużenia terminu składania ofert, zamknięcia postępowania bez dokonania wyboru oferty lub unieważnienia postępowania bez podawania przyczyn. W takim wypadku oferentom nie przysługują żadne roszczenia względem Zamawiającego w przypadku skorzystania przez niego z któregokolwiek z powyższych uprawnień. W tym zakresie Wykonawcy zrzekają się wszelkich ewentualnych przysługujących im roszczeń. </w:t>
      </w:r>
    </w:p>
    <w:p>
      <w:pPr>
        <w:pStyle w:val="Tretekstu"/>
        <w:rPr>
          <w:rFonts w:ascii="Times New Roman" w:hAnsi="Times New Roman"/>
        </w:rPr>
      </w:pPr>
      <w:r>
        <w:rPr>
          <w:rFonts w:ascii="Times New Roman" w:hAnsi="Times New Roman"/>
        </w:rPr>
        <w:t>- Zamawiający zawrze umowę z Wykonawca, którego oferta zostanie uznana za ofertę najkorzystniejszą przez Komisję Oceniającą na podstawie sporządzonego protokołu wyboru.</w:t>
      </w:r>
    </w:p>
    <w:p>
      <w:pPr>
        <w:pStyle w:val="Tretekstu"/>
        <w:rPr>
          <w:rFonts w:ascii="Times New Roman" w:hAnsi="Times New Roman"/>
        </w:rPr>
      </w:pPr>
      <w:r>
        <w:rPr>
          <w:rFonts w:ascii="Times New Roman" w:hAnsi="Times New Roman"/>
        </w:rPr>
        <w:t>-Zapytanie nie jest realizowane w ramach prawa do zamówień publicznych. Ocena ofert dokonana przez powołaną do tego celu komisję jest ostateczna.</w:t>
      </w:r>
    </w:p>
    <w:p>
      <w:pPr>
        <w:pStyle w:val="Tretekstu"/>
        <w:rPr>
          <w:rFonts w:ascii="Times New Roman" w:hAnsi="Times New Roman"/>
        </w:rPr>
      </w:pPr>
      <w:r>
        <w:rPr>
          <w:rFonts w:ascii="Times New Roman" w:hAnsi="Times New Roman"/>
        </w:rPr>
        <w:t xml:space="preserve">-Złożenie oferty jest równoznaczne z zaakceptowaniem powyższych zasad. </w:t>
      </w:r>
    </w:p>
    <w:p>
      <w:pPr>
        <w:pStyle w:val="Tretekstu"/>
        <w:rPr>
          <w:rFonts w:ascii="Times New Roman" w:hAnsi="Times New Roman"/>
        </w:rPr>
      </w:pPr>
      <w:r>
        <w:rPr>
          <w:rFonts w:ascii="Times New Roman" w:hAnsi="Times New Roman"/>
        </w:rPr>
      </w:r>
    </w:p>
    <w:p>
      <w:pPr>
        <w:pStyle w:val="Tretekstu"/>
        <w:rPr>
          <w:rFonts w:ascii="Times New Roman" w:hAnsi="Times New Roman"/>
        </w:rPr>
      </w:pPr>
      <w:r>
        <w:rPr>
          <w:rFonts w:ascii="Times New Roman" w:hAnsi="Times New Roman"/>
        </w:rPr>
        <w:t>Załączniki:</w:t>
      </w:r>
    </w:p>
    <w:p>
      <w:pPr>
        <w:pStyle w:val="Tretekstu"/>
        <w:rPr>
          <w:rFonts w:ascii="Times New Roman" w:hAnsi="Times New Roman"/>
        </w:rPr>
      </w:pPr>
      <w:r>
        <w:rPr>
          <w:rFonts w:ascii="Times New Roman" w:hAnsi="Times New Roman"/>
        </w:rPr>
        <w:t>1. Załącznik 1 Specyfikacja techniczną urządzenia</w:t>
      </w:r>
    </w:p>
    <w:p>
      <w:pPr>
        <w:pStyle w:val="Tretekstu"/>
        <w:rPr>
          <w:rFonts w:ascii="Times New Roman" w:hAnsi="Times New Roman"/>
        </w:rPr>
      </w:pPr>
      <w:r>
        <w:rPr>
          <w:rFonts w:ascii="Times New Roman" w:hAnsi="Times New Roman"/>
        </w:rPr>
        <w:t>2. Załącznik 2 Formularz oświadczenia o braku konfliktu</w:t>
      </w:r>
      <w:bookmarkStart w:id="0" w:name="_GoBack"/>
      <w:bookmarkEnd w:id="0"/>
      <w:r>
        <w:rPr>
          <w:rFonts w:ascii="Times New Roman" w:hAnsi="Times New Roman"/>
        </w:rPr>
        <w:t xml:space="preserve"> interesów</w:t>
      </w:r>
    </w:p>
    <w:p>
      <w:pPr>
        <w:pStyle w:val="Tretekstu"/>
        <w:rPr>
          <w:rFonts w:ascii="Times New Roman" w:hAnsi="Times New Roman"/>
        </w:rPr>
      </w:pPr>
      <w:r>
        <w:rPr>
          <w:rFonts w:ascii="Times New Roman" w:hAnsi="Times New Roman"/>
        </w:rPr>
      </w:r>
    </w:p>
    <w:p>
      <w:pPr>
        <w:pStyle w:val="Tretekstu"/>
        <w:spacing w:before="0" w:after="140"/>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pl-PL" w:eastAsia="zh-CN" w:bidi="hi-IN"/>
    </w:rPr>
  </w:style>
  <w:style w:type="paragraph" w:styleId="Nagwek1">
    <w:name w:val="Nagłówek 1"/>
    <w:basedOn w:val="Nagwek"/>
    <w:next w:val="Tretekstu"/>
    <w:pPr>
      <w:numPr>
        <w:ilvl w:val="0"/>
        <w:numId w:val="1"/>
      </w:numPr>
      <w:spacing w:before="240" w:after="120"/>
      <w:outlineLvl w:val="0"/>
      <w:outlineLvl w:val="0"/>
    </w:pPr>
    <w:rPr>
      <w:b/>
      <w:bCs/>
      <w:sz w:val="36"/>
      <w:szCs w:val="36"/>
    </w:rPr>
  </w:style>
  <w:style w:type="paragraph" w:styleId="Nagwek2">
    <w:name w:val="Nagłówek 2"/>
    <w:basedOn w:val="Nagwek"/>
    <w:next w:val="Tretekstu"/>
    <w:pPr>
      <w:numPr>
        <w:ilvl w:val="1"/>
        <w:numId w:val="1"/>
      </w:numPr>
      <w:spacing w:before="200" w:after="120"/>
      <w:outlineLvl w:val="1"/>
      <w:outlineLvl w:val="1"/>
    </w:pPr>
    <w:rPr>
      <w:b/>
      <w:bCs/>
      <w:sz w:val="32"/>
      <w:szCs w:val="32"/>
    </w:rPr>
  </w:style>
  <w:style w:type="paragraph" w:styleId="Nagwek3">
    <w:name w:val="Nagłówek 3"/>
    <w:basedOn w:val="Nagwek"/>
    <w:next w:val="Tretekstu"/>
    <w:pPr>
      <w:numPr>
        <w:ilvl w:val="2"/>
        <w:numId w:val="1"/>
      </w:numPr>
      <w:spacing w:before="140" w:after="120"/>
      <w:outlineLvl w:val="2"/>
      <w:outlineLvl w:val="2"/>
    </w:pPr>
    <w:rPr>
      <w:b/>
      <w:bCs/>
      <w:sz w:val="28"/>
      <w:szCs w:val="2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Cytaty">
    <w:name w:val="Cytaty"/>
    <w:basedOn w:val="Normal"/>
    <w:qFormat/>
    <w:pPr>
      <w:spacing w:before="0" w:after="283"/>
      <w:ind w:left="567" w:right="567" w:hanging="0"/>
    </w:pPr>
    <w:rPr/>
  </w:style>
  <w:style w:type="paragraph" w:styleId="Tytu">
    <w:name w:val="Tytuł"/>
    <w:basedOn w:val="Nagwek"/>
    <w:next w:val="Tretekstu"/>
    <w:pPr>
      <w:jc w:val="center"/>
    </w:pPr>
    <w:rPr>
      <w:b/>
      <w:bCs/>
      <w:sz w:val="56"/>
      <w:szCs w:val="56"/>
    </w:rPr>
  </w:style>
  <w:style w:type="paragraph" w:styleId="Podtytu">
    <w:name w:val="Podtytuł"/>
    <w:basedOn w:val="Nagwek"/>
    <w:next w:val="Tretekstu"/>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kwa.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9454</TotalTime>
  <Application>LibreOffice/4.4.1.2$Windows_x86 LibreOffice_project/45e2de17089c24a1fa810c8f975a7171ba4cd432</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2018-03-05T10:42:15Z</dcterms:created>
  <dc:creator>Grzegorz Owczarek</dc:creator>
  <dc:language>de-DE</dc:language>
  <cp:lastModifiedBy>Grzegorz Owczarek</cp:lastModifiedBy>
  <dcterms:modified xsi:type="dcterms:W3CDTF">2018-03-05T13:39:58Z</dcterms:modified>
  <cp:revision>3</cp:revision>
</cp:coreProperties>
</file>

<file path=docProps/custom.xml><?xml version="1.0" encoding="utf-8"?>
<Properties xmlns="http://schemas.openxmlformats.org/officeDocument/2006/custom-properties" xmlns:vt="http://schemas.openxmlformats.org/officeDocument/2006/docPropsVTypes"/>
</file>